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9FE" w:rsidRDefault="00FD09FE" w:rsidP="00FD09FE">
      <w:pPr>
        <w:jc w:val="center"/>
        <w:rPr>
          <w:b/>
          <w:noProof/>
          <w:sz w:val="96"/>
          <w:szCs w:val="96"/>
          <w:u w:val="single"/>
          <w:lang w:eastAsia="hu-HU"/>
        </w:rPr>
      </w:pPr>
      <w:bookmarkStart w:id="0" w:name="_GoBack"/>
      <w:bookmarkEnd w:id="0"/>
      <w:r>
        <w:rPr>
          <w:b/>
          <w:noProof/>
          <w:sz w:val="96"/>
          <w:szCs w:val="96"/>
          <w:u w:val="single"/>
          <w:lang w:eastAsia="hu-HU"/>
        </w:rPr>
        <w:t>HELYI KERETTANTERV</w:t>
      </w:r>
    </w:p>
    <w:p w:rsidR="00FD09FE" w:rsidRDefault="00FD09FE" w:rsidP="00FD09FE">
      <w:pPr>
        <w:jc w:val="center"/>
        <w:rPr>
          <w:b/>
          <w:noProof/>
          <w:sz w:val="96"/>
          <w:szCs w:val="96"/>
          <w:u w:val="single"/>
          <w:lang w:eastAsia="hu-HU"/>
        </w:rPr>
      </w:pPr>
      <w:r>
        <w:rPr>
          <w:b/>
          <w:noProof/>
          <w:sz w:val="96"/>
          <w:szCs w:val="96"/>
          <w:u w:val="single"/>
          <w:lang w:eastAsia="hu-HU"/>
        </w:rPr>
        <w:t>8. osztály</w:t>
      </w:r>
    </w:p>
    <w:p w:rsidR="00FD09FE" w:rsidRDefault="00FD09FE" w:rsidP="00FD09FE">
      <w:pPr>
        <w:rPr>
          <w:noProof/>
          <w:sz w:val="48"/>
          <w:szCs w:val="48"/>
          <w:lang w:eastAsia="hu-HU"/>
        </w:rPr>
      </w:pPr>
      <w:r>
        <w:rPr>
          <w:noProof/>
          <w:sz w:val="48"/>
          <w:szCs w:val="48"/>
          <w:lang w:eastAsia="hu-HU"/>
        </w:rPr>
        <w:t>Tan</w:t>
      </w:r>
      <w:r w:rsidR="00C4774E">
        <w:rPr>
          <w:noProof/>
          <w:sz w:val="48"/>
          <w:szCs w:val="48"/>
          <w:lang w:eastAsia="hu-HU"/>
        </w:rPr>
        <w:t>tárgy : Vizuális kultúra</w:t>
      </w:r>
    </w:p>
    <w:p w:rsidR="00FD09FE" w:rsidRDefault="00FD09FE" w:rsidP="00FD09FE">
      <w:pPr>
        <w:rPr>
          <w:noProof/>
          <w:sz w:val="48"/>
          <w:szCs w:val="48"/>
          <w:lang w:eastAsia="hu-HU"/>
        </w:rPr>
      </w:pPr>
      <w:r>
        <w:rPr>
          <w:noProof/>
          <w:sz w:val="48"/>
          <w:szCs w:val="48"/>
          <w:lang w:eastAsia="hu-HU"/>
        </w:rPr>
        <w:t>Éves óraszám: 36 óra</w:t>
      </w:r>
    </w:p>
    <w:p w:rsidR="00FD09FE" w:rsidRDefault="00FD09FE" w:rsidP="00FD09FE">
      <w:pPr>
        <w:rPr>
          <w:noProof/>
          <w:sz w:val="48"/>
          <w:szCs w:val="48"/>
          <w:lang w:eastAsia="hu-HU"/>
        </w:rPr>
      </w:pPr>
      <w:r>
        <w:rPr>
          <w:noProof/>
          <w:sz w:val="48"/>
          <w:szCs w:val="48"/>
          <w:lang w:eastAsia="hu-HU"/>
        </w:rPr>
        <w:t>Heti óraszám: 1 óra</w:t>
      </w:r>
    </w:p>
    <w:p w:rsidR="00FD09FE" w:rsidRDefault="00FD09FE" w:rsidP="00FD09FE">
      <w:pPr>
        <w:rPr>
          <w:noProof/>
          <w:sz w:val="48"/>
          <w:szCs w:val="48"/>
          <w:lang w:eastAsia="hu-HU"/>
        </w:rPr>
      </w:pPr>
      <w:r>
        <w:rPr>
          <w:noProof/>
          <w:sz w:val="48"/>
          <w:szCs w:val="48"/>
          <w:lang w:eastAsia="hu-HU"/>
        </w:rPr>
        <w:t>Készítette: Felsős munkaközösség</w:t>
      </w:r>
    </w:p>
    <w:p w:rsidR="00FD09FE" w:rsidRDefault="00FD09FE" w:rsidP="00FD09FE">
      <w:pPr>
        <w:rPr>
          <w:noProof/>
          <w:sz w:val="48"/>
          <w:szCs w:val="48"/>
          <w:lang w:eastAsia="hu-HU"/>
        </w:rPr>
      </w:pPr>
    </w:p>
    <w:p w:rsidR="00FD09FE" w:rsidRDefault="00FD09FE" w:rsidP="00FD09FE">
      <w:pPr>
        <w:jc w:val="center"/>
        <w:rPr>
          <w:noProof/>
          <w:lang w:eastAsia="hu-HU"/>
        </w:rPr>
      </w:pPr>
      <w:r>
        <w:rPr>
          <w:noProof/>
          <w:lang w:eastAsia="hu-HU"/>
        </w:rPr>
        <w:drawing>
          <wp:inline distT="0" distB="0" distL="0" distR="0">
            <wp:extent cx="2940050" cy="36004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9FE" w:rsidRDefault="00FD09FE" w:rsidP="00E3592E">
      <w:pPr>
        <w:spacing w:before="480" w:after="240" w:line="240" w:lineRule="auto"/>
        <w:jc w:val="center"/>
        <w:outlineLvl w:val="1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E3592E" w:rsidRPr="00E90BC6" w:rsidRDefault="00E3592E" w:rsidP="00E3592E">
      <w:pPr>
        <w:spacing w:before="480" w:after="240" w:line="240" w:lineRule="auto"/>
        <w:jc w:val="center"/>
        <w:outlineLvl w:val="1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lastRenderedPageBreak/>
        <w:t>8. évfolyam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vizuális kultúra tantárgy feladata ebben az iskolaszakaszban is az, hogy a tanulók a vizuális művészet eszközeivel megismerhető világ jelenségeit megvizsgálják, értelmezzék, következtetéseiket az életkoruknak megfelelő szinten használják fel alkotó munkájukban. Az ebben az életkorban felerősödő mérlegelő gondolkodást, továbbá a személyes vélemények megjelenítését a vizuális kultúra tantárgy minden részterületén érdemes érvényesíteni. Itt jelenik meg a vizuális nevelés értékközvetítő és értékteremtő hatásának személyiségformáló ereje. A vizuális kultúra tantárgy kultúraközvetítő hatása a történeti korok művészetének alkotó jellegű megismerésében rejlik. A magyar művészet kiemelkedő alkotásainak megismerése erősíti a nemzeti önazonosságtudatot és a szociális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kompetenciák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fejlesztését is támogatja. A kamaszkorú tanulók szívesen versengenek egymással, kortársaik véleménye, elismerése látszólag fontosabb a szülők és pedagógusok elismerésénél, ezért a tárgy műveltségi anyagának elsajátítását érdemes felnőttekre szabott műveltségi játékok formájában motiválni.  A realitásigény erősödésével a tanulók érdeklődése erőteljesebben fordul a mindennapi vizuális jelenségek felé, így a tantárgy határozott célja a médiatudatosság fejlesztése, a fenntarthatóság, a környezettudatos szemlélet erősítése. 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A technikai médiumok használatának túlsúlya miatt rendkívül fontos az újabb vizuális médiumok sajátosságainak megismertetése a tanulókkal és azok kritikai, mérlegelő használatának kialakítása bennük.  Ez az iskolaszakasz az, ahol a mozgóképek és a médiaszövegek értelmezése és megértése legalább olyan fajsúlyos kérdés, mint a divat, a szűkebb és tágabb környezet vizuális kultúrája, és az ebben megjelenő technológia.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C4774E">
        <w:rPr>
          <w:rFonts w:ascii="Times New Roman" w:eastAsia="Calibri" w:hAnsi="Times New Roman" w:cs="Times New Roman"/>
          <w:b/>
          <w:sz w:val="24"/>
          <w:szCs w:val="24"/>
          <w:highlight w:val="darkGray"/>
          <w:lang w:eastAsia="hu-HU"/>
        </w:rPr>
        <w:t>A 7–8. évfolyamon a vizuális kultúra tantárgy alapóraszáma: 36-36 óra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A témakörök áttekintő táblázata: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43"/>
        <w:gridCol w:w="2083"/>
      </w:tblGrid>
      <w:tr w:rsidR="00E3592E" w:rsidRPr="00E90BC6" w:rsidTr="004740DC">
        <w:trPr>
          <w:trHeight w:val="113"/>
        </w:trPr>
        <w:tc>
          <w:tcPr>
            <w:tcW w:w="6521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E90BC6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Témakör neve</w:t>
            </w:r>
          </w:p>
        </w:tc>
        <w:tc>
          <w:tcPr>
            <w:tcW w:w="1985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E90BC6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Javasolt óraszám</w:t>
            </w:r>
          </w:p>
        </w:tc>
      </w:tr>
      <w:tr w:rsidR="00E3592E" w:rsidRPr="00E90BC6" w:rsidTr="004740DC">
        <w:trPr>
          <w:trHeight w:val="113"/>
        </w:trPr>
        <w:tc>
          <w:tcPr>
            <w:tcW w:w="6521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Vizuális művészeti jelenségek – Alkotások, stílusok</w:t>
            </w:r>
          </w:p>
        </w:tc>
        <w:tc>
          <w:tcPr>
            <w:tcW w:w="1985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5-5</w:t>
            </w:r>
          </w:p>
        </w:tc>
      </w:tr>
      <w:tr w:rsidR="00E3592E" w:rsidRPr="00E90BC6" w:rsidTr="004740DC">
        <w:trPr>
          <w:trHeight w:val="113"/>
        </w:trPr>
        <w:tc>
          <w:tcPr>
            <w:tcW w:w="6521" w:type="dxa"/>
            <w:vAlign w:val="center"/>
          </w:tcPr>
          <w:p w:rsidR="00E3592E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Vizuális művészeti jelenségek – Személyes vizuális tapasztalat és </w:t>
            </w:r>
            <w:proofErr w:type="gramStart"/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reflexió</w:t>
            </w:r>
            <w:proofErr w:type="gramEnd"/>
          </w:p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Katolikus ünnepek (Gellért nap, karácsony, húsvét, pünkösd), helyi nevezetességek</w:t>
            </w:r>
          </w:p>
        </w:tc>
        <w:tc>
          <w:tcPr>
            <w:tcW w:w="1985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7-7</w:t>
            </w:r>
          </w:p>
        </w:tc>
      </w:tr>
      <w:tr w:rsidR="00E3592E" w:rsidRPr="00E90BC6" w:rsidTr="004740DC">
        <w:trPr>
          <w:trHeight w:val="113"/>
        </w:trPr>
        <w:tc>
          <w:tcPr>
            <w:tcW w:w="6521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Médiumok sajátosságai – Médiumok jellemző kifejezőeszközei</w:t>
            </w:r>
          </w:p>
        </w:tc>
        <w:tc>
          <w:tcPr>
            <w:tcW w:w="1985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4-4</w:t>
            </w:r>
          </w:p>
        </w:tc>
      </w:tr>
      <w:tr w:rsidR="00E3592E" w:rsidRPr="00E90BC6" w:rsidTr="004740DC">
        <w:trPr>
          <w:trHeight w:val="113"/>
        </w:trPr>
        <w:tc>
          <w:tcPr>
            <w:tcW w:w="6521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Időbeli és térbeli viszonyok – Tér és idő vizuális megjelenítésének lehetőségei</w:t>
            </w:r>
          </w:p>
        </w:tc>
        <w:tc>
          <w:tcPr>
            <w:tcW w:w="1985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4-4</w:t>
            </w:r>
          </w:p>
        </w:tc>
      </w:tr>
      <w:tr w:rsidR="00E3592E" w:rsidRPr="00E90BC6" w:rsidTr="004740DC">
        <w:trPr>
          <w:trHeight w:val="113"/>
        </w:trPr>
        <w:tc>
          <w:tcPr>
            <w:tcW w:w="6521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Vizuális </w:t>
            </w:r>
            <w:proofErr w:type="gramStart"/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és befolyásolás – Kép és szöveg üzenete</w:t>
            </w:r>
          </w:p>
        </w:tc>
        <w:tc>
          <w:tcPr>
            <w:tcW w:w="1985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6-6</w:t>
            </w:r>
          </w:p>
        </w:tc>
      </w:tr>
      <w:tr w:rsidR="00E3592E" w:rsidRPr="00E90BC6" w:rsidTr="004740DC">
        <w:trPr>
          <w:trHeight w:val="113"/>
        </w:trPr>
        <w:tc>
          <w:tcPr>
            <w:tcW w:w="6521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Környezet: Technológia és hagyomány – Hagyomány, design, divat</w:t>
            </w:r>
          </w:p>
        </w:tc>
        <w:tc>
          <w:tcPr>
            <w:tcW w:w="1985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5-5</w:t>
            </w:r>
          </w:p>
        </w:tc>
      </w:tr>
      <w:tr w:rsidR="00E3592E" w:rsidRPr="00E90BC6" w:rsidTr="004740DC">
        <w:trPr>
          <w:trHeight w:val="113"/>
        </w:trPr>
        <w:tc>
          <w:tcPr>
            <w:tcW w:w="6521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Környezet: Technológia és hagyomány – Tárgyak, terek, </w:t>
            </w:r>
            <w:proofErr w:type="gramStart"/>
            <w:r w:rsidRPr="00E90BC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funkció</w:t>
            </w:r>
            <w:proofErr w:type="gramEnd"/>
          </w:p>
        </w:tc>
        <w:tc>
          <w:tcPr>
            <w:tcW w:w="1985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5-5</w:t>
            </w:r>
          </w:p>
        </w:tc>
      </w:tr>
      <w:tr w:rsidR="00E3592E" w:rsidRPr="00E90BC6" w:rsidTr="004740DC">
        <w:trPr>
          <w:trHeight w:val="113"/>
        </w:trPr>
        <w:tc>
          <w:tcPr>
            <w:tcW w:w="6521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90BC6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Összes óraszám:</w:t>
            </w:r>
          </w:p>
        </w:tc>
        <w:tc>
          <w:tcPr>
            <w:tcW w:w="1985" w:type="dxa"/>
            <w:vAlign w:val="center"/>
          </w:tcPr>
          <w:p w:rsidR="00E3592E" w:rsidRPr="00E90BC6" w:rsidRDefault="00E3592E" w:rsidP="0047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36-36</w:t>
            </w:r>
          </w:p>
        </w:tc>
      </w:tr>
    </w:tbl>
    <w:p w:rsidR="00C4774E" w:rsidRDefault="00C4774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C4774E" w:rsidRDefault="00C4774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lastRenderedPageBreak/>
        <w:t>Témakör: Vizuális művészeti jelenségek – Alkotások, stílusok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Javasolt óraszám: 5</w:t>
      </w: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 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Tanulási eredmények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látványt, vizuális jelenségeket, műalkotásokat önállóan is pontosan, részletgazdagon szövegesen jellemez, bemutat;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témával, feladattal kapcsolatos vizuális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információkat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képi inspirációkat keres többféle forrásból;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szöveges vagy egyszerű képi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inspiráció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alapján elképzeli és megjeleníti a látványt, egyénileg és csoportmunkában is;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különböző művészettörténeti korokban, stílusokban készült alkotásokat, építményeket összehasonlít, megkülönböztet és összekapcsol más jelenségekkel, fogalmakkal, alkotásokkal, melyek segítségével alkotótevékenysége során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újrafogalmazza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látványt;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tetszésítélete alapján alkotásokról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információkat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gyűjt, kifejezőerő és a közvetített hatás szempontjából csoportosítja, és megállapításait felhasználja más szituációban;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megfogalmazza személyes viszonyulását, értelmezését adott vagy választott művész alkotásai, társadalmi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reflexiói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kapcsán.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Fejlesztési feladatok és ismeretek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vagy választott –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klasszikus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modern, kortárs – művészettörténeti korban, stílusban készült alkotások, építmények összehasonlító, elemzéséből (pl. kora középkori és reneszánsz vagy barokk és XX-XXI. századi emberábrázolás,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klasszikus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modern építészet anyaghasználata, figuratív és nonfiguratív ábrázolás a modern művészetben) származó tapasztalatok megfigyelése, elemzése (pl. stílusjegyek, kifejezőerő, hatáskeltés, anyaghasználat és funkció) és felhasználása az alkotás során. Az adott témához társított korszakra, stílusra jellemző elemek,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karakter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felhasználásával vagy hangsúlyozásával fantáziát, belső képeket, intuíciót felhasználó feladatok megoldása (pl. művek átdolgozása, parafrázis készítése, társasjáték, számítógépes játék tervezése, prezentáció, színházi, filmes látványterv, irodalmi, zenei illusztráció).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Különböző korból és kultúrából származó művek csoportosítása különböző szempontok (pl. műfaj, technika, kifejezőeszköz, tériség, mű célja) szerint.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Fogalmak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képzőművészeti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műfaj, stíluskorszak, stílusirányzat, kortárs művészet, művészi kifejezés, parafrázis, vizuális napló, látványterv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t xml:space="preserve">Témakör: Vizuális művészeti jelenségek – Személyes vizuális tapasztalat és </w:t>
      </w:r>
      <w:proofErr w:type="gramStart"/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t>reflexió</w:t>
      </w:r>
      <w:proofErr w:type="gramEnd"/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Javasolt óraszám: </w:t>
      </w:r>
      <w:r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7</w:t>
      </w: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Tanulási eredmények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alkotómunka során felhasználja a már látott képi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inspirációkat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témával, feladattal kapcsolatos vizuális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információkat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képi inspirációkat keres többféle forrásból;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elvont fogalmakat, művészeti tartalmakat belső képek összekapcsolásával bemutat, magyaráz és különböző vizuális eszközökkel megjelenít;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a vizuális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problémák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vizsgálata során összegyűjtött információkat, gondolatokat különböző szempontok szerint rendez és összehasonlít, a tapasztalatait különböző helyzetekben a megoldás érdekében felhasználja;</w:t>
      </w:r>
    </w:p>
    <w:p w:rsidR="00E3592E" w:rsidRPr="00E90BC6" w:rsidRDefault="00E3592E" w:rsidP="00E3592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látványok, képek, médiaszövegek, történetek, szituációk feldolgozása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kapcsán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személyes módon kifejezi, megjeleníti felszínre kerülő érzéseit, gondolatait, asszociációit;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nem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konvencionális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feladatok kapcsán egyéni elképzeléseit, ötleteit rugalmasan alkalmazva megoldást talál.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Fejlesztési feladatok és ismeretek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Művészeti élmények (pl. zene, színház/mozgás, médiajelenség) vizuális megjelenítése, átírása különböző eszközökkel (pl. festés, kollázs, installáció, fotó, rövidfilm) önkifejező alkotásokban. A megjelenítés rövid szöveges értelmezése.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Elvont fogalmak (pl. hűség, szabadság, harmónia, zsarnokság, szorongás) változatos vizuális megjelenítésére műalkotások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gyűjtése  (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pl. tabló, prezentáció) egyénileg vagy csoportmunkában. A gyűjtemények bemutatása, vitatható műalkotások kapcsán az érvelés gyakorlása.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Példaként korábban látott műalkotás stílusjegyeit felhasználva önálló alkotómunka más elvont fogalom megjelenítése céljából.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alkotó (pl.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Baldessari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Bacon, Chagall, Csontváry, Dali, Escher,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Haring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Michelangelo, Modigliani,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Moor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Shiota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van Gogh, Vasarely,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Vermeer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vagy választott stílus (pl. expresszionizmus, pop-art, szürrealizmus) jellemzőinek, stílusjegyeinek összegyűjtése és a gyűjtött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információk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felhasználása játékos alkotó feladatokban (pl. műfaj vagy médium csere, életműbe illő „hamisítvány” kreálása, öltözet kollekció tervezése)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Adott látvány, tárgy együttes (pl. félhomály, ellenfény, alulnézet, letakart beállítás, felborult pad, kiborult kuka, kötél, tűzoltó kalapács, fél pár strandpapucs) vizuális ábrázolása (pl. fotó, rajz, festés, plasztika), majd a látvány kiegészítése, tovább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gondolása választott vizuális alkotások (pl. Matisse: Csendélet kék asztalon, Moholy-Nagy: Q1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Suprematistic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Munch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Sikoly,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Vermeer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: Geográfus,) képi elemeinek felhasználásával a személyes mondanivaló érdekében (pl. a felborult padtól megrémült lány, A geográfus csodálkozva vizsgálja a félhomályban a fél pár strandpapucsot)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XIX-XX.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századi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magyar művészet legjelentősebb alkotásainak megismerése (Barabás, Borsos, Csontváry, Madarász, Munkácsy, Paál stb.), egy-egy alkotáshoz televíziós műveltségi vetélkedők stílusában változatos tesztkérdések írása egyénileg vagy csoportban. Egyéni felkészülés után a vetélkedő eljátszása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Fogalmak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vizuális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átírás, kiemelés eszközei, fény- és színhatás, kontraszt, színkontraszt, enteriőr</w:t>
      </w:r>
    </w:p>
    <w:p w:rsidR="00C4774E" w:rsidRDefault="00C4774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C4774E" w:rsidRDefault="00C4774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C4774E" w:rsidRDefault="00C4774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C4774E" w:rsidRDefault="00C4774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lastRenderedPageBreak/>
        <w:t>Témakör: Médiumok sajátosságai – Médiumok jellemző kifejezőeszközei</w:t>
      </w: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Javasolt óraszám:</w:t>
      </w:r>
      <w:r w:rsidRPr="00E90BC6">
        <w:rPr>
          <w:rFonts w:ascii="Times New Roman" w:eastAsia="Cambria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4</w:t>
      </w: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 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Tanulási eredmények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témával, feladattal kapcsolatos vizuális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információkat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képi inspirációkat keres többféle forrásból;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vizuális megjelenések, képek, mozgóképek, médiaszövegek vizsgálata, összehasonlítása során feltárt következtetéseit megfogalmazza, és alkotó tevékenységében felhasználja, egyénileg és csoportmunkában is;</w:t>
      </w:r>
    </w:p>
    <w:p w:rsidR="00E3592E" w:rsidRPr="00E90BC6" w:rsidRDefault="00E3592E" w:rsidP="00E3592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látványok, képek, médiaszövegek, történetek, szituációk feldolgozása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kapcsán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személyes módon kifejezi, megjeleníti felszínre kerülő érzéseit, gondolatait, asszociációit;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vizuális megjelenítés során egyénileg és csoportmunkában is használja a kiemelés, figyelemirányítás, egyensúlyteremtés vizuális eszközeit.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Fejlesztési feladatok és ismeretek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Példák alapján a mozgókép működésének értelmezése (pl. időszervezés, képkivágás/kameramozgás, plán, hanghatás) majd kreatív alkalmazása összetett feladatokban (pl.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storyboard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készítése megadott képkockából kiindulva, rövidfilm készítése megadott fogalomból vagy fotóból kiindulva), mely a médium sajátos (nyelvi) működésének felismerését célozza meg.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Példák alapján a technikai képalkotó, digitális médiumok (pl. sajtófotó, híroldal, blog, filmetűd, klip, videóinstalláció) hétköznapi kommunikációs, továbbá személyes és művészi kifejező szándékának összehasonlítása.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Fogalmak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címrend, tipográfia, 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illusztráció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, képaláírás, link, banner, kameraállás, kameramozgás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t>Témakör: Időbeli és térbeli viszonyok – Tér és idő vizuális megjelenítésének lehetőségei</w:t>
      </w: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Javasolt óraszám: </w:t>
      </w:r>
      <w:r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4 </w:t>
      </w: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óra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Tanulási eredmények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a valóság vagy a vizuális alkotások, illetve azok elemei által felidézett asszociatív módon generált képeket, történeteket szövegesen megfogalmaz, vizuálisan megjelenít, egyénileg és csoportmunkában is;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vizuális megjelenések, képek, mozgóképek, médiaszövegek vizsgálata, összehasonlítása során feltárt következtetéseit megfogalmazza, és alkotó tevékenységében felhasználja, egyénileg és csoportmunkában is;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a helyzetek, történetek ábrázolása, dokumentálása során felhasználja a kép és szöveg, a kép és hang viszonyában rejlő lehetőségeket, egyénileg vagy csoportmunkában is;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adott témát, időbeli, térbeli folyamatokat, történéseket közvetít újabb médiumok képírási formáinak segítségével egyénileg vagy csoportmunkában is;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nem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konvencionális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feladatok kapcsán egyéni elképzeléseit, ötleteit rugalmasan alkalmazva megoldást talál.</w:t>
      </w:r>
    </w:p>
    <w:p w:rsidR="00C4774E" w:rsidRDefault="00C4774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lastRenderedPageBreak/>
        <w:t>Fejlesztési feladatok és ismeretek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Példák alapján a tér és idő valós érzékelésének, látványának, törvényszerűségeinek megfigyelése és összevetése a különböző korok teret és időbeliséget ábrázoló, megjelenítő módjaival, (pl. ókori egyiptomi, középkor, reneszánsz, barokk, impresszionizmus, XX-XXI.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század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művészeti törekvései).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tér, térbeliség (pl. kórházi folyosó, vágyott szoba, metróállomás) ábrázolása az egy iránypontos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perspektíva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szabályaival.  Az elkészült alkotások, rajzok kiegészítése (pl. személyes szöveggel, saját fotóval, képrészlettel, műalkotások szereplőivel).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két iránypontos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perspektíva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szabályainak megismerése, alkalmazása szögletes testek rajzi megjelenítésében. 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Egyméretű axonometria felhasználásával készült,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irreális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tereket bemutató műalkotások (pl. Vasarely, M.C. Escher, Orosz István művei) szerkezeti elvének megfigyelése után változatok önálló alkotása.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mozgókép működésének, a mozgás illúziókeltésének és kezdeti animációs filmek technikatörténeti hátterének megismerése után (pl.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Muybridge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Lumiere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Funny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faces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stop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motion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típusú animációs kisfilmek készítése csoportban.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Fogalmak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állókép, mozgókép, képes forgatókönyv, fázis,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perspektíva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, axonometria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t xml:space="preserve">Témakör: Vizuális </w:t>
      </w:r>
      <w:proofErr w:type="gramStart"/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t>információ</w:t>
      </w:r>
      <w:proofErr w:type="gramEnd"/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t xml:space="preserve"> és befolyásolás – Kép és szöveg üzenete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Javasolt óraszám:</w:t>
      </w:r>
      <w:r w:rsidRPr="00E90BC6">
        <w:rPr>
          <w:rFonts w:ascii="Times New Roman" w:eastAsia="Cambria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6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Tanulási eredmények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témával, feladattal kapcsolatos vizuális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információkat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képi inspirációkat keres többféle forrásból;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a valóság vagy a vizuális alkotások, illetve azok elemei által felidézett asszociatív módon generált képeket, történeteket szövegesen megfogalmaz, vizuálisan megjelenít, egyénileg és csoportmunkában is;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vizuális megjelenítés során használja a kiemelés, figyelemirányítás, egyensúlyteremtés vizuális eszközeit, egyénileg és csoportmunkában is;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a helyzetek, történetek ábrázolása, dokumentálása során felhasználja a kép és szöveg, a kép és hang viszonyában rejlő lehetőségeket, egyénileg vagy csoportmunkában is;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nem vizuális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információkat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(pl. számszerű adat, absztrakt fogalom) különböző célok (pl. tudományos, gazdasági, turisztikai) érdekében vizuális, képi üzenetté alakít;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gondolatait, terveit, észrevételeit, véleményét változatos vizuális eszközök segítségével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prezentálja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Fejlesztési feladatok és ismeretek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Példák alapján a nyomtatott és online sajtó tervezésekor (pl. napilap, magazin, honlap) alkalmazott fontosabb figyelemvezető, kiemelő eljárások értelmezése (pl. címrend, betűméret, tipográfia, szöveg és képi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illusztráció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viszonya, képaláírás, linkek, hang-és képanyagok) és felhasználása játékos tervező feladatokban (pl. híroldal tervezése az osztály számára, saját profil tervezése) egyénileg és csoportmunkában.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Nem vizuális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információk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(pl. számszerű adat, absztrakt fogalom) különböző célok (pl. tudományos, gazdasági, turisztikai) érdekében vizuális, képi üzenetté alakítása (pl. rajz, </w:t>
      </w: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festés, térbeli konstrukció, fotó, film, installáció, számítógépes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infografika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, fényjáték segítségével), és/vagy saját jelzésrendszer alkalmazásával (pl. szubjektív térkép, „hangulathőmérő”).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Különböző helyzetekben (tanulási, hétköznapi, utazási,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fiktív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, dramatikus) az adott szituációhoz, tartalomhoz, közlési szándékhoz és a személyes érdeklődéshez leginkább illeszkedő, kifejező és változatos vizuális eszközökkel prezentáció létrehozása, a gondolatok, tervek, vélemények, észrevételek bemutatásához (pl. tabló, képfolyam, diagram, digitális prezentáció).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Példák alapján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direkt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kommunikációs célok érdekében kép és szöveg vizuális és fogalmi/szöveges üzenetének tanulmányozása, azok egymást befolyásoló, módosító, erősítő, illetve gyengítő hatásának vizsgálata játékos feladatokban (pl. adott kép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továbbgondolása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különböző képaláírásokkal, „elromlott TV”: csak kép vagy csak hang alapján a szituáció reprodukálása).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Fogalmak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verbális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vizuális kommunikáció, közlési szándék, figyelemirányítás, kiemelés, sűrítés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t>Témakör: Környezet: Technológia és hagyomány – Hagyomány, design, divat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Javasolt óraszám:</w:t>
      </w:r>
      <w:r w:rsidRPr="00E90BC6">
        <w:rPr>
          <w:rFonts w:ascii="Times New Roman" w:eastAsia="Cambria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6 </w:t>
      </w: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óra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Tanulási eredmények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látványt, vizuális jelenségeket, műalkotásokat önállóan is pontosan, részletgazdagon szövegesen jellemez, bemutat;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alkotómunka során felhasználja a már látott képi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inspirációkat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témával, feladattal kapcsolatos vizuális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információkat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képi inspirációkat keres többféle forrásból;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különböző művészettörténeti korokban, stílusokban készült alkotásokat, építményeket összehasonlít, megkülönböztet és összekapcsol más jelenségekkel, fogalmakkal, alkotásokkal, melyek segítségével alkotótevékenysége során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újrafogalmazza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látványt;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különböző korok és kultúrák szimbólumai és motívumai közül adott cél érdekében gyűjtést végez, és alkotó tevékenységében felhasználja a gyűjtés eredményeit;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koncepció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figyelembevételével, tudatos anyag- és eszközhasználattal tárgyakat, tereket tervez és hoz létre, egyénileg vagy csoportmunkában is;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gondolatait, terveit, észrevételeit, véleményét változatos vizuális eszközök segítségével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prezentálja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téma vizuális feldolgozása érdekében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problémákat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vet fel, megoldási lehetőségeket talál, javasol, a probléma megoldása érdekében kísérletezik;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nem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konvencionális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feladatok kapcsán egyéni elképzeléseit, ötleteit rugalmasan alkalmazva megoldást talál.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Fejlesztési feladatok és ismeretek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Tárgyak átalakítása, áttervezése meghatározott célok (pl. védelem, álcázás, stílusváltás) érdekében, a történeti korok és a modern design tárgyainak vizsgálatán keresztül. Egyszerű műszaki jellegű ábrázolás segítségével (pl. metszetrajz, vetületi ábrázolás) a saját tervek megjelenítése szabadkézi rajzban.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Személyes tárgyak (pl. öltözék, fontos tárgyak, közvetlen otthoni környezet) elemzése és megjelenítése a személyes stílus bemutatása érdekében, tetszőlegesen választott eszközökkel (pl. stíluslap, divatrajz). 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Lakóhelyének (vagy a magyar népművészeti tájegységek egyikének) jellemző díszítőmotívumait felhasználó, önállóan gyűjtött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inspirációs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forrás segítségével mintatervezés különböző léptékben, és a minta felhasználása a környezetalakításban (pl. festett faldekoráció tervezése a kiindulásként használt magyar tájegység közösségi tere, épülete számára).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Fogalmak</w:t>
      </w:r>
    </w:p>
    <w:p w:rsidR="00E3592E" w:rsidRPr="00C4774E" w:rsidRDefault="00E3592E" w:rsidP="00C4774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metszetrajz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, vetületi ábrázolás, nézetek, tudatos anyaghasználat, divat, személyes stílus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t xml:space="preserve">Témakör: Környezet: Technológia és hagyomány – Tárgyak, terek, </w:t>
      </w:r>
      <w:proofErr w:type="gramStart"/>
      <w:r w:rsidRPr="00C4774E">
        <w:rPr>
          <w:rFonts w:ascii="Times New Roman" w:eastAsia="Cambria" w:hAnsi="Times New Roman" w:cs="Times New Roman"/>
          <w:b/>
          <w:sz w:val="24"/>
          <w:szCs w:val="24"/>
          <w:highlight w:val="darkGray"/>
          <w:lang w:eastAsia="hu-HU"/>
        </w:rPr>
        <w:t>funkció</w:t>
      </w:r>
      <w:proofErr w:type="gramEnd"/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Javasolt óraszám:</w:t>
      </w:r>
      <w:r w:rsidRPr="00E90BC6">
        <w:rPr>
          <w:rFonts w:ascii="Times New Roman" w:eastAsia="Cambria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5</w:t>
      </w: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 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Tanulási eredmények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különböző korok és kultúrák szimbólumai és motívumai közül adott cél érdekében gyűjtést végez, és alkotó tevékenységében felhasználja a gyűjtés eredményeit;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alkotómunka során felhasználja a már látott képi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inspirációkat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témával, feladattal kapcsolatos vizuális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információkat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képi inspirációkat keres többféle forrásból;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koncepció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figyelembevételével, tudatos anyag- és eszközhasználattal tárgyakat, tereket tervez és hoz létre, egyénileg vagy csoportmunkában is;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adott téma vizuális feldolgozása érdekében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problémákat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vet fel, megoldási lehetőségeket talál, javasol, a probléma megoldása érdekében kísérletezik;</w:t>
      </w:r>
    </w:p>
    <w:p w:rsidR="00E3592E" w:rsidRPr="00E90BC6" w:rsidRDefault="00E3592E" w:rsidP="00E359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nem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konvencionális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feladatok kapcsán egyéni elképzeléseit, ötleteit rugalmasan alkalmazva megoldást talál.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Fejlesztési feladatok és ismeretek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Példák alapján épített terek, téri helyzetek (pl.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klasszikus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modern épület, labirintus, térinstalláció) elemző vizsgálata különböző vizuális eszközökkel, a tér megjelenítésének (pl. 2D és 3D) lehetőségeivel kísérletezve (pl. 2D-ből 3D megjelenítés: pop-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up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technika, papírplasztika, makett készítése, 3D-ből 2D megjelenítés: épület fotói alapján alaprajz „rekonstrukció”).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közvetlen környezet hasznos átalakítása érdekében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konkrét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probléma feltárása (pl. térhasznosítás az iskolaudvaron, szelektív szemétgyűjtés bevezetése, közösségi tér a településen), elemzése, a megoldás érdekében az ötletek vizuális rögzítése, majd a végleges megoldási javaslat kidolgozása, modellezése és bemutatása egyénileg és csoportmunkában. Az adott cél érdekében folyó tervezési folyamat lépéseinek dokumentálása.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Személyes tárgy (pl. fülhallgató, toll, telefontok) áttervezése a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funkció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megtartásával, ugyanakkor sajátos szempontok érvényesítésével (pl. abszurd vagy természet inspirálta formaalakítás, tárgy a távoli jövőből) a vizuális felmérésből származó elemző tapasztalatok (pl. mérés, információgyűjtés, ötletek vázlatos megjelenítése) alapján, a gazdaságos anyaghasználat érvényesítésével.</w:t>
      </w:r>
    </w:p>
    <w:p w:rsidR="00E3592E" w:rsidRPr="00E90BC6" w:rsidRDefault="00E3592E" w:rsidP="00E3592E">
      <w:pPr>
        <w:spacing w:before="120" w:after="0" w:line="240" w:lineRule="auto"/>
        <w:jc w:val="both"/>
        <w:outlineLvl w:val="2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Fogalmak</w:t>
      </w:r>
    </w:p>
    <w:p w:rsidR="00E3592E" w:rsidRPr="00E90BC6" w:rsidRDefault="00E3592E" w:rsidP="00E3592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építészeti elem, lépték, designgondolkodás, ergonómia, forma és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funkció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összefüggései</w:t>
      </w:r>
    </w:p>
    <w:p w:rsidR="00E3592E" w:rsidRPr="00E90BC6" w:rsidRDefault="00E3592E" w:rsidP="00E3592E">
      <w:pPr>
        <w:spacing w:before="480" w:after="12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4774E">
        <w:rPr>
          <w:rFonts w:ascii="Times New Roman" w:eastAsia="Calibri" w:hAnsi="Times New Roman" w:cs="Times New Roman"/>
          <w:b/>
          <w:sz w:val="24"/>
          <w:szCs w:val="24"/>
          <w:highlight w:val="darkGray"/>
          <w:lang w:eastAsia="hu-HU"/>
        </w:rPr>
        <w:lastRenderedPageBreak/>
        <w:t>Ajánlott műtípusok, művek, alkotók</w:t>
      </w:r>
      <w:r w:rsidRPr="00C4774E">
        <w:rPr>
          <w:rFonts w:ascii="Times New Roman" w:eastAsia="Calibri" w:hAnsi="Times New Roman" w:cs="Times New Roman"/>
          <w:sz w:val="24"/>
          <w:szCs w:val="24"/>
          <w:highlight w:val="darkGray"/>
          <w:lang w:eastAsia="hu-HU"/>
        </w:rPr>
        <w:t xml:space="preserve">: </w:t>
      </w:r>
      <w:r w:rsidRPr="00C4774E">
        <w:rPr>
          <w:rFonts w:ascii="Times New Roman" w:eastAsia="Calibri" w:hAnsi="Times New Roman" w:cs="Times New Roman"/>
          <w:b/>
          <w:bCs/>
          <w:sz w:val="24"/>
          <w:szCs w:val="24"/>
          <w:highlight w:val="darkGray"/>
          <w:lang w:eastAsia="hu-HU"/>
        </w:rPr>
        <w:t>8. évfolyam</w:t>
      </w:r>
    </w:p>
    <w:p w:rsidR="00E3592E" w:rsidRPr="00E90BC6" w:rsidRDefault="00E3592E" w:rsidP="00E3592E">
      <w:pPr>
        <w:spacing w:before="120" w:after="200" w:line="276" w:lineRule="auto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szemléltetés érdekében az alábbi műtípusok, művek, vagy alkotók valamely művének bemutatása ajánlott:</w:t>
      </w:r>
    </w:p>
    <w:p w:rsidR="00E3592E" w:rsidRPr="00E90BC6" w:rsidRDefault="00E3592E" w:rsidP="00E3592E">
      <w:pPr>
        <w:spacing w:after="0" w:line="276" w:lineRule="auto"/>
        <w:ind w:right="-4891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Építmények:</w:t>
      </w: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Gaudi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Sagrada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Familia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Gropius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A Bauhaus központi épülete, </w:t>
      </w: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br/>
        <w:t xml:space="preserve">Le Corbusier: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Ronchamp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-i kápolna,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Makovecz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Imre épületei, Pollack Mihály: Nemzeti Múzeum,</w:t>
      </w: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br/>
        <w:t>Steindl Imre: Országház</w:t>
      </w:r>
    </w:p>
    <w:p w:rsidR="00E3592E" w:rsidRPr="00E90BC6" w:rsidRDefault="00E3592E" w:rsidP="00E3592E">
      <w:pPr>
        <w:spacing w:after="0" w:line="276" w:lineRule="auto"/>
        <w:ind w:right="-4891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3592E" w:rsidRPr="00E90BC6" w:rsidRDefault="00E3592E" w:rsidP="00E359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Képzőművészeti alkotások: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Baldessari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Stonehenge 2005, Bernáth Aurél: Tél, Bosch: A hét főbűn, Brueghel: Vakok,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Brunelleschi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Ospedale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degli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Innocenti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Gauguin: Mi újság? (Tahiti nők),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Giacometti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Erdő, Kandinszkij: Sárga piros kék, </w:t>
      </w:r>
      <w:proofErr w:type="gram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La</w:t>
      </w:r>
      <w:proofErr w:type="gram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Tour: A születés, Man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Rey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Ajándék,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Massaccio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Szentháromság, Markó Károly tájképei, Matisse: Csendélet kék asztalon, Marcus Aurelius lovasszobra, M.C. Escher grafikái,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Memling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Jelenetek Mária életéből, Moholy-Nagy: Q1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Suprematistic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Modigliani: Jeanne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Hébuterne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sárga pulóverben, Moore: Fekvő figura, Munkácsy Mihály: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Tépéscsinálok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Ecce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homo, Orosz István grafikái, Picasso: Guernica, Avignoni kisasszonyok,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Shiota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: Emlékeső, </w:t>
      </w:r>
      <w:proofErr w:type="spellStart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Vermeer</w:t>
      </w:r>
      <w:proofErr w:type="spellEnd"/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: Geográfus</w:t>
      </w:r>
    </w:p>
    <w:p w:rsidR="00E3592E" w:rsidRPr="00E90BC6" w:rsidRDefault="00E3592E" w:rsidP="00E359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3592E" w:rsidRPr="00E90BC6" w:rsidRDefault="00E3592E" w:rsidP="00E359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90BC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Egyéb</w:t>
      </w:r>
      <w:r w:rsidRPr="00E90BC6">
        <w:rPr>
          <w:rFonts w:ascii="Times New Roman" w:eastAsia="Calibri" w:hAnsi="Times New Roman" w:cs="Times New Roman"/>
          <w:sz w:val="24"/>
          <w:szCs w:val="24"/>
          <w:lang w:eastAsia="hu-HU"/>
        </w:rPr>
        <w:t>: Dali, Vasarely</w:t>
      </w:r>
    </w:p>
    <w:p w:rsidR="00E3592E" w:rsidRPr="00E90BC6" w:rsidRDefault="00E3592E" w:rsidP="00E3592E">
      <w:pPr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sectPr w:rsidR="00E3592E" w:rsidRPr="00E90BC6" w:rsidSect="00E90BC6">
          <w:pgSz w:w="11906" w:h="16838"/>
          <w:pgMar w:top="1417" w:right="1416" w:bottom="1417" w:left="1417" w:header="708" w:footer="708" w:gutter="0"/>
          <w:cols w:space="708"/>
        </w:sectPr>
      </w:pPr>
    </w:p>
    <w:p w:rsidR="00E3592E" w:rsidRPr="00E90BC6" w:rsidRDefault="00E3592E" w:rsidP="00E3592E">
      <w:pPr>
        <w:spacing w:after="0" w:line="276" w:lineRule="auto"/>
        <w:ind w:right="-4891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Az újként megismert anyagok és eszközök, technikák az alkotótevékenységnek megfelelő, rendeltetésszerű és biztonságos anyag- és eszközhasználata.</w:t>
      </w: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 xml:space="preserve">A legismertebb formák, színek, vonalak, térbeli helyek és irányok, illetve </w:t>
      </w:r>
      <w:proofErr w:type="gramStart"/>
      <w:r w:rsidRPr="000F7A92">
        <w:rPr>
          <w:rFonts w:ascii="Times New Roman" w:hAnsi="Times New Roman" w:cs="Times New Roman"/>
          <w:bCs/>
          <w:sz w:val="24"/>
          <w:szCs w:val="24"/>
        </w:rPr>
        <w:t>komponálási</w:t>
      </w:r>
      <w:proofErr w:type="gramEnd"/>
      <w:r w:rsidRPr="000F7A92">
        <w:rPr>
          <w:rFonts w:ascii="Times New Roman" w:hAnsi="Times New Roman" w:cs="Times New Roman"/>
          <w:bCs/>
          <w:sz w:val="24"/>
          <w:szCs w:val="24"/>
        </w:rPr>
        <w:t xml:space="preserve"> módok használata, látványok, műalkotások olvasásába is beépítve.</w:t>
      </w: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 xml:space="preserve">Téralkotó feladatok során a személyes preferenciáknak és a </w:t>
      </w:r>
      <w:proofErr w:type="gramStart"/>
      <w:r w:rsidRPr="000F7A92">
        <w:rPr>
          <w:rFonts w:ascii="Times New Roman" w:hAnsi="Times New Roman" w:cs="Times New Roman"/>
          <w:bCs/>
          <w:sz w:val="24"/>
          <w:szCs w:val="24"/>
        </w:rPr>
        <w:t>funkciónak</w:t>
      </w:r>
      <w:proofErr w:type="gramEnd"/>
      <w:r w:rsidRPr="000F7A92">
        <w:rPr>
          <w:rFonts w:ascii="Times New Roman" w:hAnsi="Times New Roman" w:cs="Times New Roman"/>
          <w:bCs/>
          <w:sz w:val="24"/>
          <w:szCs w:val="24"/>
        </w:rPr>
        <w:t xml:space="preserve"> megfelelő térbeli szükségletek felismerése.</w:t>
      </w: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A szobrászati, festészeti, tárgyművészeti, építészeti területek közötti különbségek további differenciálása (pl. festészeten belül: arckép, csendélet, tájkép).</w:t>
      </w: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Látványok, műalkotások megfigyeléseinek során kialakult gondolatok, érzések elmondására a tantervben meghatározott legfontosabb fogalmak használatával, az életkornak megfelelően.</w:t>
      </w: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Különböző típusú médiaszövegek felismerése, a médiatartalmak közötti tudatos választás.</w:t>
      </w: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A médiaszövegekhez használt egyszerű kódok, kreatív kifejezőeszközök és azok érzelmi hatásának felismerése.</w:t>
      </w: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Kép- és hangrögzítő eszközök használata elemi technikáinak ismerete. Az elsajátított kifejezőeszközök segítségével saját gondolatok, érzések megfogalmazása, rövid, egyszerű történet megformálása.</w:t>
      </w: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A médiaszövegek előállításával, nyelvi jellemzőivel, használatával kapcsolatos alapfogalmak elsajátítása, helyes alkalmazása élőszóban.</w:t>
      </w: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A média alapvető funkcióinak (tájékoztatás, szórakoztatás, ismeretszerzés) megismerése.</w:t>
      </w:r>
    </w:p>
    <w:p w:rsidR="000F7A92" w:rsidRPr="000F7A92" w:rsidRDefault="000F7A92" w:rsidP="000F7A92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 xml:space="preserve">A médiaszövegekben megjelenő </w:t>
      </w:r>
      <w:proofErr w:type="gramStart"/>
      <w:r w:rsidRPr="000F7A92">
        <w:rPr>
          <w:rFonts w:ascii="Times New Roman" w:hAnsi="Times New Roman" w:cs="Times New Roman"/>
          <w:bCs/>
          <w:sz w:val="24"/>
          <w:szCs w:val="24"/>
        </w:rPr>
        <w:t>információk</w:t>
      </w:r>
      <w:proofErr w:type="gramEnd"/>
      <w:r w:rsidRPr="000F7A92">
        <w:rPr>
          <w:rFonts w:ascii="Times New Roman" w:hAnsi="Times New Roman" w:cs="Times New Roman"/>
          <w:bCs/>
          <w:sz w:val="24"/>
          <w:szCs w:val="24"/>
        </w:rPr>
        <w:t xml:space="preserve"> valóságtartalmának felismerése.</w:t>
      </w:r>
    </w:p>
    <w:p w:rsidR="000F7A92" w:rsidRPr="00C4774E" w:rsidRDefault="000F7A92" w:rsidP="000F7A92">
      <w:pPr>
        <w:rPr>
          <w:bCs/>
          <w:sz w:val="24"/>
          <w:szCs w:val="24"/>
        </w:rPr>
        <w:sectPr w:rsidR="000F7A92" w:rsidRPr="00C4774E" w:rsidSect="000F7A92">
          <w:type w:val="continuous"/>
          <w:pgSz w:w="11906" w:h="16838"/>
          <w:pgMar w:top="720" w:right="720" w:bottom="720" w:left="720" w:header="708" w:footer="708" w:gutter="0"/>
          <w:cols w:space="708"/>
          <w:docGrid w:linePitch="299"/>
        </w:sectPr>
      </w:pPr>
      <w:r w:rsidRPr="00C4774E">
        <w:rPr>
          <w:bCs/>
          <w:sz w:val="24"/>
          <w:szCs w:val="24"/>
          <w:highlight w:val="green"/>
        </w:rPr>
        <w:lastRenderedPageBreak/>
        <w:t>Az életkorhoz igazodó biztonságos internet- és mobilhasználat szabályainak ismerete, alkalmazása. A hálózati kommunikációban való részvétel során fontos és szükséges viselkedési szabályok elsajátítása, alkalmazása. Életkorhoz igazodó fejlesztő, kreatív internetes tevékenységek megismerése</w:t>
      </w:r>
    </w:p>
    <w:p w:rsidR="00E3592E" w:rsidRDefault="00E3592E" w:rsidP="00E3592E"/>
    <w:p w:rsidR="005C7B3D" w:rsidRDefault="005C7B3D"/>
    <w:sectPr w:rsidR="005C7B3D" w:rsidSect="00C33425">
      <w:type w:val="continuous"/>
      <w:pgSz w:w="11906" w:h="16838"/>
      <w:pgMar w:top="1417" w:right="1417" w:bottom="1417" w:left="1417" w:header="708" w:footer="708" w:gutter="0"/>
      <w:pgNumType w:start="1"/>
      <w:cols w:num="2" w:space="2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33EDE"/>
    <w:multiLevelType w:val="multilevel"/>
    <w:tmpl w:val="3902793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2E"/>
    <w:rsid w:val="000F7A92"/>
    <w:rsid w:val="005C7B3D"/>
    <w:rsid w:val="007C5368"/>
    <w:rsid w:val="00866F52"/>
    <w:rsid w:val="00C4774E"/>
    <w:rsid w:val="00E3592E"/>
    <w:rsid w:val="00E433A2"/>
    <w:rsid w:val="00FD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FCB3F-4EC0-4577-B9DD-7250D1FA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3592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9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2766</Words>
  <Characters>19092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Szné. Uhrin Ildikó</dc:creator>
  <cp:keywords/>
  <dc:description/>
  <cp:lastModifiedBy>Admin</cp:lastModifiedBy>
  <cp:revision>2</cp:revision>
  <dcterms:created xsi:type="dcterms:W3CDTF">2020-08-28T06:51:00Z</dcterms:created>
  <dcterms:modified xsi:type="dcterms:W3CDTF">2020-08-28T06:51:00Z</dcterms:modified>
</cp:coreProperties>
</file>